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26-290</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 112</w:t>
      </w:r>
    </w:p>
    <w:p>
      <w:pPr>
        <w:spacing w:before="0" w:after="0" w:line="480"/>
        <w:ind w:left="120"/>
        <w:jc w:val="center"/>
      </w:pPr>
      <w:r>
        <w:rPr>
          <w:rFonts w:ascii="Times New Roman" w:hAnsi="Times New Roman"/>
          <w:b w:val="false"/>
          <w:i w:val="false"/>
          <w:color w:val="000000"/>
          <w:sz w:val="24"/>
        </w:rPr>
        <w:t>“Licensing and Regulation of Child Foster Care Facilities”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237.3</w:t>
      </w:r>
    </w:p>
    <w:p>
      <w:pPr>
        <w:spacing w:before="0" w:after="0" w:line="480"/>
        <w:ind w:left="120"/>
        <w:jc w:val="both"/>
      </w:pPr>
      <w:r>
        <w:rPr>
          <w:rFonts w:ascii="Times New Roman" w:hAnsi="Times New Roman"/>
          <w:b w:val="false"/>
          <w:i w:val="false"/>
          <w:color w:val="000000"/>
          <w:sz w:val="24"/>
        </w:rPr>
        <w:t>State or federal law(s) implemented by the rulemaking: Iowa Code chapter 237 and section 232.69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211 532 914 792 67</w:t>
            </w:r>
            <w:r>
              <w:br/>
            </w:r>
            <w:r>
              <w:rPr>
                <w:rFonts w:ascii="Times New Roman" w:hAnsi="Times New Roman"/>
                <w:b w:val="false"/>
                <w:i w:val="false"/>
                <w:color w:val="000000"/>
                <w:sz w:val="14"/>
              </w:rPr>
              <w:t>Passcode: 94Ve93DX</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Department of Health and Human Services</w:t>
            </w:r>
            <w:r>
              <w:br/>
            </w:r>
            <w:r>
              <w:rPr>
                <w:rFonts w:ascii="Times New Roman" w:hAnsi="Times New Roman"/>
                <w:b w:val="false"/>
                <w:i w:val="false"/>
                <w:color w:val="000000"/>
                <w:sz w:val="14"/>
              </w:rPr>
              <w:t>Lucas State Office Building</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was reviewed as part of the Red Tape Review process laid out by Executive Order 10. Through the review, restrictive terms were removed, duplicative information was streamlined, and language was changed to be in line with modern procedures and practices. This proposed chapter relates to licensing procedures for all child foster care facilities authorized by Iowa Code chapter 237.</w:t>
      </w:r>
    </w:p>
    <w:p>
      <w:pPr>
        <w:spacing w:before="0" w:after="0" w:line="480"/>
        <w:ind w:left="120"/>
        <w:jc w:val="both"/>
      </w:pPr>
      <w:r>
        <w:rPr>
          <w:rFonts w:ascii="Times New Roman" w:hAnsi="Times New Roman"/>
          <w:b w:val="false"/>
          <w:i w:val="false"/>
          <w:color w:val="000000"/>
          <w:sz w:val="24"/>
        </w:rPr>
        <w:t>    The reference to 441—subrule 117.1(3) in rule 441—112.10(237) is to that subrule as proposed in a concurrent rulemaking (</w:t>
      </w:r>
      <w:r>
        <w:rPr>
          <w:rFonts w:ascii="Times New Roman" w:hAnsi="Times New Roman"/>
          <w:b/>
          <w:i w:val="false"/>
          <w:color w:val="000000"/>
          <w:sz w:val="24"/>
        </w:rPr>
        <w:t>RA 26-293</w:t>
      </w:r>
      <w:r>
        <w:rPr>
          <w:rFonts w:ascii="Times New Roman" w:hAnsi="Times New Roman"/>
          <w:b w:val="false"/>
          <w:i w:val="false"/>
          <w:color w:val="000000"/>
          <w:sz w:val="24"/>
        </w:rPr>
        <w:t>, IAB 9/16/26).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Children, families, and facilities charged with the care of children within the foster care system benefit from having updated, concise, and clear rules regarding the licensing of child foster care facilities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For SFY 26, there were 1,643 children in foster care and a total of 2,062 eligible foster homes.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Children, families, and facilities charged with the care of children within the foster care system benefit from having updated, concise, and clear rules regarding the licensing of child foster care facilities in Iowa.</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other implementation or enforcement costs aside from personnel expenses.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is not expected to have an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rules set forth in this proposed chapter are required by Iowa Code section 237.3.</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112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112</w:t>
      </w:r>
    </w:p>
    <w:p>
      <w:pPr>
        <w:spacing w:before="0" w:after="0" w:line="480"/>
        <w:ind w:left="120"/>
        <w:jc w:val="center"/>
      </w:pPr>
      <w:r>
        <w:rPr>
          <w:rFonts w:ascii="Times New Roman" w:hAnsi="Times New Roman"/>
          <w:b w:val="false"/>
          <w:i w:val="false"/>
          <w:color w:val="000000"/>
          <w:sz w:val="21"/>
        </w:rPr>
        <w:t>LICENSING AND REGULATION OF CHILD FOSTER CARE FACILITIES</w:t>
      </w:r>
    </w:p>
    <w:p>
      <w:pPr>
        <w:spacing w:before="0" w:after="0" w:line="480"/>
        <w:ind w:left="120"/>
        <w:jc w:val="both"/>
      </w:pPr>
      <w:r>
        <w:rPr>
          <w:rFonts w:ascii="Times New Roman" w:hAnsi="Times New Roman"/>
          <w:b/>
          <w:i w:val="false"/>
          <w:color w:val="000000"/>
          <w:sz w:val="24"/>
        </w:rPr>
        <w:t>441—112.1</w:t>
      </w:r>
      <w:r>
        <w:rPr>
          <w:rFonts w:ascii="Times New Roman" w:hAnsi="Times New Roman"/>
          <w:b/>
          <w:i w:val="false"/>
          <w:color w:val="000000"/>
          <w:sz w:val="24"/>
        </w:rPr>
        <w:t xml:space="preserve">(237)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“Applicant”</w:t>
      </w:r>
      <w:r>
        <w:rPr>
          <w:rFonts w:ascii="Times New Roman" w:hAnsi="Times New Roman"/>
          <w:b w:val="false"/>
          <w:i/>
          <w:color w:val="000000"/>
          <w:sz w:val="24"/>
          <w:u w:val="single"/>
        </w:rPr>
        <w:t> </w:t>
      </w:r>
      <w:r>
        <w:rPr>
          <w:rFonts w:ascii="Times New Roman" w:hAnsi="Times New Roman"/>
          <w:b w:val="false"/>
          <w:i w:val="false"/>
          <w:color w:val="000000"/>
          <w:sz w:val="24"/>
        </w:rPr>
        <w:t>means any one of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For a foster family home license, the applicant is the person or persons applying.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For a proprietary facility, the applicant is the owner or designee of the facility.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For facilities having a board of directors, the applicant may be the president of the board or the board’s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“Foster family home”</w:t>
      </w:r>
      <w:r>
        <w:rPr>
          <w:rFonts w:ascii="Times New Roman" w:hAnsi="Times New Roman"/>
          <w:b w:val="false"/>
          <w:i/>
          <w:color w:val="000000"/>
          <w:sz w:val="24"/>
          <w:u w:val="single"/>
        </w:rPr>
        <w:t> </w:t>
      </w:r>
      <w:r>
        <w:rPr>
          <w:rFonts w:ascii="Times New Roman" w:hAnsi="Times New Roman"/>
          <w:b w:val="false"/>
          <w:i w:val="false"/>
          <w:color w:val="000000"/>
          <w:sz w:val="24"/>
        </w:rPr>
        <w:t>means a home in which an individual person or persons or a married couple who wishes to provide or is providing, for a period exceeding 24 consecutive hours, board, room, and care for a child in a single-family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“Group facility”</w:t>
      </w:r>
      <w:r>
        <w:rPr>
          <w:rFonts w:ascii="Times New Roman" w:hAnsi="Times New Roman"/>
          <w:b w:val="false"/>
          <w:i/>
          <w:color w:val="000000"/>
          <w:sz w:val="24"/>
          <w:u w:val="single"/>
        </w:rPr>
        <w:t> </w:t>
      </w:r>
      <w:r>
        <w:rPr>
          <w:rFonts w:ascii="Times New Roman" w:hAnsi="Times New Roman"/>
          <w:b w:val="false"/>
          <w:i w:val="false"/>
          <w:color w:val="000000"/>
          <w:sz w:val="24"/>
        </w:rPr>
        <w:t>means any of the following types of facilities:</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“Community residential facility” means a facility that provides care for children who are considered unable to live in a family situation due to social, emotional or physical disabilities but are capable of interacting in a community environment with a minimum amount of supervision. The facility provides 24-hour care, including board and room. Community resources are used for education, recreation, medical, social and rehabilitation services. The facility is responsible for planning the daily activities of the children, discipline, guidance, peer relationships, and recreational programs.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“Comprehensive residential facility” means a facility that provides care and treatment for children who are unable to live in a family situation due to social, emotional, or physical disabilities and who require varying degrees of supervision as indicated in the individual service plan. Care includes room and board. Services include the internal capacity for individual, family, and group treatment. These services and others provided to the child shall be under the administrative control of the facility. Community resources may be used for medical, recreational, and educational needs.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 xml:space="preserve">“Residential facility for children with an intellectual disability or brain injury” means any residential facility that serves children with an intellectual disability as defined in Iowa Code section </w:t>
      </w:r>
      <w:hyperlink r:id="rId5">
        <w:r>
          <w:rPr>
            <w:rStyle w:val="Hyperlink"/>
            <w:rFonts w:ascii="Times New Roman" w:hAnsi="Times New Roman"/>
            <w:b w:val="false"/>
            <w:i w:val="false"/>
            <w:color w:val="000000"/>
            <w:sz w:val="24"/>
          </w:rPr>
          <w:t>222.2(5)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441—112.2</w:t>
      </w:r>
      <w:r>
        <w:rPr>
          <w:rFonts w:ascii="Times New Roman" w:hAnsi="Times New Roman"/>
          <w:b/>
          <w:i w:val="false"/>
          <w:color w:val="000000"/>
          <w:sz w:val="24"/>
        </w:rPr>
        <w:t xml:space="preserve">(237) </w:t>
      </w:r>
      <w:r>
        <w:rPr>
          <w:rFonts w:ascii="Times New Roman" w:hAnsi="Times New Roman"/>
          <w:b/>
          <w:i w:val="false"/>
          <w:color w:val="000000"/>
          <w:sz w:val="24"/>
        </w:rPr>
        <w:t xml:space="preserve">Application for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112.2(1)</w:t>
      </w:r>
      <w:r>
        <w:rPr>
          <w:rFonts w:ascii="Times New Roman" w:hAnsi="Times New Roman"/>
          <w:b w:val="false"/>
          <w:i w:val="false"/>
          <w:color w:val="000000"/>
          <w:sz w:val="24"/>
        </w:rPr>
        <w:t> </w:t>
      </w:r>
      <w:r>
        <w:rPr>
          <w:rFonts w:ascii="Times New Roman" w:hAnsi="Times New Roman"/>
          <w:b w:val="false"/>
          <w:i/>
          <w:color w:val="000000"/>
          <w:sz w:val="24"/>
        </w:rPr>
        <w:t xml:space="preserve">Right to apply. </w:t>
      </w:r>
      <w:r>
        <w:rPr>
          <w:rFonts w:ascii="Times New Roman" w:hAnsi="Times New Roman"/>
          <w:b w:val="false"/>
          <w:i w:val="false"/>
          <w:color w:val="000000"/>
          <w:sz w:val="24"/>
        </w:rPr>
        <w:t>Any adult individual or agency has the right to apply for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Foster family care. </w:t>
      </w:r>
      <w:r>
        <w:rPr>
          <w:rFonts w:ascii="Times New Roman" w:hAnsi="Times New Roman"/>
          <w:b w:val="false"/>
          <w:i w:val="false"/>
          <w:color w:val="000000"/>
          <w:sz w:val="24"/>
        </w:rPr>
        <w:t>A person wishing to apply to be a foster parent shall contact the department’s recruitment and retention contractor to request an application packet. This procedure also applies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Persons wishing to care for children placed through any public or private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relative who is caring for a child directly placed by the child’s parents, guardians, or another relative and who wishes to be licensed as a foster parent.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Group care. </w:t>
      </w:r>
      <w:r>
        <w:rPr>
          <w:rFonts w:ascii="Times New Roman" w:hAnsi="Times New Roman"/>
          <w:b w:val="false"/>
          <w:i w:val="false"/>
          <w:color w:val="000000"/>
          <w:sz w:val="24"/>
        </w:rPr>
        <w:t>A person wishing to apply for a group care license may contact the department for an application or access an application through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112.2(2)</w:t>
      </w:r>
      <w:r>
        <w:rPr>
          <w:rFonts w:ascii="Times New Roman" w:hAnsi="Times New Roman"/>
          <w:b w:val="false"/>
          <w:i w:val="false"/>
          <w:color w:val="000000"/>
          <w:sz w:val="24"/>
        </w:rPr>
        <w:t> </w:t>
      </w:r>
      <w:r>
        <w:rPr>
          <w:rFonts w:ascii="Times New Roman" w:hAnsi="Times New Roman"/>
          <w:b w:val="false"/>
          <w:i/>
          <w:color w:val="000000"/>
          <w:sz w:val="24"/>
        </w:rPr>
        <w:t xml:space="preserve">Decision to operate a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an applicant has reached a decision to operate a foster family home, the applicant shall complete the Foster Family Home License 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an applicant has reached a decision to operate a group facility, the applicant shall complete the Application for License or Certificate of Approval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112.2(3)</w:t>
      </w:r>
      <w:r>
        <w:rPr>
          <w:rFonts w:ascii="Times New Roman" w:hAnsi="Times New Roman"/>
          <w:b w:val="false"/>
          <w:i w:val="false"/>
          <w:color w:val="000000"/>
          <w:sz w:val="24"/>
        </w:rPr>
        <w:t> </w:t>
      </w:r>
      <w:r>
        <w:rPr>
          <w:rFonts w:ascii="Times New Roman" w:hAnsi="Times New Roman"/>
          <w:b w:val="false"/>
          <w:i/>
          <w:color w:val="000000"/>
          <w:sz w:val="24"/>
        </w:rPr>
        <w:t xml:space="preserve">Withdrawal of an application. </w:t>
      </w:r>
      <w:r>
        <w:rPr>
          <w:rFonts w:ascii="Times New Roman" w:hAnsi="Times New Roman"/>
          <w:b w:val="false"/>
          <w:i w:val="false"/>
          <w:color w:val="000000"/>
          <w:sz w:val="24"/>
        </w:rPr>
        <w:t>The applicant shall report the withdrawal of an application promptly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112.2(4)</w:t>
      </w:r>
      <w:r>
        <w:rPr>
          <w:rFonts w:ascii="Times New Roman" w:hAnsi="Times New Roman"/>
          <w:b w:val="false"/>
          <w:i w:val="false"/>
          <w:color w:val="000000"/>
          <w:sz w:val="24"/>
        </w:rPr>
        <w:t> </w:t>
      </w:r>
      <w:r>
        <w:rPr>
          <w:rFonts w:ascii="Times New Roman" w:hAnsi="Times New Roman"/>
          <w:b w:val="false"/>
          <w:i/>
          <w:color w:val="000000"/>
          <w:sz w:val="24"/>
        </w:rPr>
        <w:t xml:space="preserve">Evaluation of the application. </w:t>
      </w:r>
      <w:r>
        <w:rPr>
          <w:rFonts w:ascii="Times New Roman" w:hAnsi="Times New Roman"/>
          <w:b w:val="false"/>
          <w:i w:val="false"/>
          <w:color w:val="000000"/>
          <w:sz w:val="24"/>
        </w:rPr>
        <w:t>Each application will be evaluated by the department to ensure that all standards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Before it results in adverse action, a founded abuse report on a director, a sole proprietor involved in the facility’s operation, or any facility staff or foster parent applicant will be evaluated by the department to determine if the abuse merits prohibition of employment 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department will evaluate all founded child abuse on a case-by-case basis. Considerations will include but not be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facility’s response (e.g., immediate termination of involved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abuse was an isolated incident or is symptomatic of a broader, systemic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112.2(5)</w:t>
      </w:r>
      <w:r>
        <w:rPr>
          <w:rFonts w:ascii="Times New Roman" w:hAnsi="Times New Roman"/>
          <w:b w:val="false"/>
          <w:i w:val="false"/>
          <w:color w:val="000000"/>
          <w:sz w:val="24"/>
        </w:rPr>
        <w:t> </w:t>
      </w:r>
      <w:r>
        <w:rPr>
          <w:rFonts w:ascii="Times New Roman" w:hAnsi="Times New Roman"/>
          <w:b w:val="false"/>
          <w:i/>
          <w:color w:val="000000"/>
          <w:sz w:val="24"/>
        </w:rPr>
        <w:t xml:space="preserve">Reports and information. </w:t>
      </w:r>
      <w:r>
        <w:rPr>
          <w:rFonts w:ascii="Times New Roman" w:hAnsi="Times New Roman"/>
          <w:b w:val="false"/>
          <w:i w:val="false"/>
          <w:color w:val="000000"/>
          <w:sz w:val="24"/>
        </w:rPr>
        <w:t>Requested reports and information relevant to the licensing determination shall be furnished to the department by the applicant.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112.2(6)</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renewal.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will send the licensee an application for renewal 90 days before the license expires. Applications for license renewal shall be made on the form prescribed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Applications for renewal shall be made at least 30 days but no more than 90 days before the license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department will approve or deny an application for license renewal through the same process as that used for the original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112.2(7)</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Foster family homes.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an applicant of the approval or denial of an initial license within 140 days of the date that the applicant begins the required preservice training. When preservice training is waived, the department will notify the applicant of approval or denial within 120 days of the date that the training waiver is granted.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notify a licensee of the approval or denial of license renewal within 90 days of reapplication.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Foster group facilities. </w:t>
      </w:r>
      <w:r>
        <w:rPr>
          <w:rFonts w:ascii="Times New Roman" w:hAnsi="Times New Roman"/>
          <w:b w:val="false"/>
          <w:i w:val="false"/>
          <w:color w:val="000000"/>
          <w:sz w:val="24"/>
        </w:rPr>
        <w:t>The department will notify a foster group facility of approval or denial of a license within 90 days of application or reapplication.</w:t>
      </w:r>
    </w:p>
    <w:p>
      <w:pPr>
        <w:spacing w:before="0" w:after="0" w:line="480"/>
        <w:ind w:left="120"/>
        <w:jc w:val="both"/>
      </w:pPr>
      <w:r>
        <w:rPr>
          <w:rFonts w:ascii="Times New Roman" w:hAnsi="Times New Roman"/>
          <w:b/>
          <w:i w:val="false"/>
          <w:color w:val="000000"/>
          <w:sz w:val="24"/>
        </w:rPr>
        <w:t>441—112.3</w:t>
      </w:r>
      <w:r>
        <w:rPr>
          <w:rFonts w:ascii="Times New Roman" w:hAnsi="Times New Roman"/>
          <w:b/>
          <w:i w:val="false"/>
          <w:color w:val="000000"/>
          <w:sz w:val="24"/>
        </w:rPr>
        <w:t xml:space="preserve">(237) </w:t>
      </w:r>
      <w:r>
        <w:rPr>
          <w:rFonts w:ascii="Times New Roman" w:hAnsi="Times New Roman"/>
          <w:b/>
          <w:i w:val="false"/>
          <w:color w:val="000000"/>
          <w:sz w:val="24"/>
        </w:rPr>
        <w:t xml:space="preserve">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112.3(1)</w:t>
      </w:r>
      <w:r>
        <w:rPr>
          <w:rFonts w:ascii="Times New Roman" w:hAnsi="Times New Roman"/>
          <w:b w:val="false"/>
          <w:i w:val="false"/>
          <w:color w:val="000000"/>
          <w:sz w:val="24"/>
        </w:rPr>
        <w:t> </w:t>
      </w:r>
      <w:r>
        <w:rPr>
          <w:rFonts w:ascii="Times New Roman" w:hAnsi="Times New Roman"/>
          <w:b w:val="false"/>
          <w:i w:val="false"/>
          <w:color w:val="000000"/>
          <w:sz w:val="24"/>
        </w:rPr>
        <w:t>A new license shall be obtained each time the licensee moves or the facility is remodeled.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112.3(2)</w:t>
      </w:r>
      <w:r>
        <w:rPr>
          <w:rFonts w:ascii="Times New Roman" w:hAnsi="Times New Roman"/>
          <w:b w:val="false"/>
          <w:i w:val="false"/>
          <w:color w:val="000000"/>
          <w:sz w:val="24"/>
        </w:rPr>
        <w:t> </w:t>
      </w:r>
      <w:r>
        <w:rPr>
          <w:rFonts w:ascii="Times New Roman" w:hAnsi="Times New Roman"/>
          <w:b w:val="false"/>
          <w:i w:val="false"/>
          <w:color w:val="000000"/>
          <w:sz w:val="24"/>
        </w:rPr>
        <w:t>A new license shall be requested when the facility wishes to be licensed for a different number of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112.3(3)</w:t>
      </w:r>
      <w:r>
        <w:rPr>
          <w:rFonts w:ascii="Times New Roman" w:hAnsi="Times New Roman"/>
          <w:b w:val="false"/>
          <w:i w:val="false"/>
          <w:color w:val="000000"/>
          <w:sz w:val="24"/>
        </w:rPr>
        <w:t> </w:t>
      </w:r>
      <w:r>
        <w:rPr>
          <w:rFonts w:ascii="Times New Roman" w:hAnsi="Times New Roman"/>
          <w:b w:val="false"/>
          <w:i w:val="false"/>
          <w:color w:val="000000"/>
          <w:sz w:val="24"/>
        </w:rPr>
        <w:t>When corrective action is completed on or before the date specified on a provisional or renewal license, a full license will be issued for the remainder of the licensure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112.3(4)</w:t>
      </w:r>
      <w:r>
        <w:rPr>
          <w:rFonts w:ascii="Times New Roman" w:hAnsi="Times New Roman"/>
          <w:b w:val="false"/>
          <w:i w:val="false"/>
          <w:color w:val="000000"/>
          <w:sz w:val="24"/>
        </w:rPr>
        <w:t> </w:t>
      </w:r>
      <w:r>
        <w:rPr>
          <w:rFonts w:ascii="Times New Roman" w:hAnsi="Times New Roman"/>
          <w:b w:val="false"/>
          <w:i w:val="false"/>
          <w:color w:val="000000"/>
          <w:sz w:val="24"/>
        </w:rPr>
        <w:t>When the corrective action is not completed by the date specified on a provisional or renewal license, a full license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112.3(5)</w:t>
      </w:r>
      <w:r>
        <w:rPr>
          <w:rFonts w:ascii="Times New Roman" w:hAnsi="Times New Roman"/>
          <w:b w:val="false"/>
          <w:i w:val="false"/>
          <w:color w:val="000000"/>
          <w:sz w:val="24"/>
        </w:rPr>
        <w:t> </w:t>
      </w:r>
      <w:r>
        <w:rPr>
          <w:rFonts w:ascii="Times New Roman" w:hAnsi="Times New Roman"/>
          <w:b w:val="false"/>
          <w:i w:val="false"/>
          <w:color w:val="000000"/>
          <w:sz w:val="24"/>
        </w:rPr>
        <w:t>The department will issue the Certificate of License form without cost to any foster family that meets the standards. The department will issue the Certificate of License form without cost to any group facility that meets the standards. The department may offer consultation to assist applicants in meeting the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112.3(6)</w:t>
      </w:r>
      <w:r>
        <w:rPr>
          <w:rFonts w:ascii="Times New Roman" w:hAnsi="Times New Roman"/>
          <w:b w:val="false"/>
          <w:i w:val="false"/>
          <w:color w:val="000000"/>
          <w:sz w:val="24"/>
        </w:rPr>
        <w:t> </w:t>
      </w:r>
      <w:r>
        <w:rPr>
          <w:rFonts w:ascii="Times New Roman" w:hAnsi="Times New Roman"/>
          <w:b w:val="false"/>
          <w:i w:val="false"/>
          <w:color w:val="000000"/>
          <w:sz w:val="24"/>
        </w:rPr>
        <w:t>A foster family home license will be approved for a term of one year for the first and second years of licensure. Thereafter, the license will be approved for a term of two years unless it is determined by the department that a one-year license will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112.3(7)</w:t>
      </w:r>
      <w:r>
        <w:rPr>
          <w:rFonts w:ascii="Times New Roman" w:hAnsi="Times New Roman"/>
          <w:b w:val="false"/>
          <w:i w:val="false"/>
          <w:color w:val="000000"/>
          <w:sz w:val="24"/>
        </w:rPr>
        <w:t> </w:t>
      </w:r>
      <w:r>
        <w:rPr>
          <w:rFonts w:ascii="Times New Roman" w:hAnsi="Times New Roman"/>
          <w:b w:val="false"/>
          <w:i w:val="false"/>
          <w:color w:val="000000"/>
          <w:sz w:val="24"/>
        </w:rPr>
        <w:t>A group facility license will be approved for a term of one to three years according to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one-year license may be approved for all new facilities that meet licensure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one- to two-year license may be approved when it is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Some health or safety concerns have been identified;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Some complaints against a facility have been substantiated;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Deficiencies have been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three-year license may be approved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No health or safety deficiencies have been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have either been no substantiated complaints against the facility or, if substantiated, complaints have been determined not to be serious or severe;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facility has no founded incidents of child abuse by facility staff.</w:t>
      </w:r>
    </w:p>
    <w:p>
      <w:pPr>
        <w:spacing w:before="0" w:after="0" w:line="480"/>
        <w:ind w:left="120"/>
        <w:jc w:val="both"/>
      </w:pPr>
      <w:r>
        <w:rPr>
          <w:rFonts w:ascii="Times New Roman" w:hAnsi="Times New Roman"/>
          <w:b/>
          <w:i w:val="false"/>
          <w:color w:val="000000"/>
          <w:sz w:val="24"/>
        </w:rPr>
        <w:t>441—112.4</w:t>
      </w:r>
      <w:r>
        <w:rPr>
          <w:rFonts w:ascii="Times New Roman" w:hAnsi="Times New Roman"/>
          <w:b/>
          <w:i w:val="false"/>
          <w:color w:val="000000"/>
          <w:sz w:val="24"/>
        </w:rPr>
        <w:t xml:space="preserve">(237) </w:t>
      </w:r>
      <w:r>
        <w:rPr>
          <w:rFonts w:ascii="Times New Roman" w:hAnsi="Times New Roman"/>
          <w:b/>
          <w:i w:val="false"/>
          <w:color w:val="000000"/>
          <w:sz w:val="24"/>
        </w:rPr>
        <w:t xml:space="preserve">Denial.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112.4(1)</w:t>
      </w:r>
      <w:r>
        <w:rPr>
          <w:rFonts w:ascii="Times New Roman" w:hAnsi="Times New Roman"/>
          <w:b w:val="false"/>
          <w:i w:val="false"/>
          <w:color w:val="000000"/>
          <w:sz w:val="24"/>
        </w:rPr>
        <w:t> </w:t>
      </w:r>
      <w:r>
        <w:rPr>
          <w:rFonts w:ascii="Times New Roman" w:hAnsi="Times New Roman"/>
          <w:b w:val="false"/>
          <w:i w:val="false"/>
          <w:color w:val="000000"/>
          <w:sz w:val="24"/>
        </w:rPr>
        <w:t>The department will deny the license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minimum standards are not met and a provisional license is inappropriate or disapproved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just cause.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applicant, as a sole proprietor or a foster family home parent; any person residing in the foster family home other than a foster child; or any facility staff has been convicted of a crime unless an evaluation of the crime has been made by the department that concludes that the crime does not merit prohibition of employment 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applicant, as a sole proprietor or foster family home parent; any person residing in the foster family home other than a foster child; or any facility staff has a record of founded child abuse unless an evaluation of the founded abuse has been made by the department that concludes that the abuse does not merit prohibition of employment 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the application is fraudulent, which means that the applicant has knowingly made fraudulent statements or has knowingly concealed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112.4(2)</w:t>
      </w:r>
      <w:r>
        <w:rPr>
          <w:rFonts w:ascii="Times New Roman" w:hAnsi="Times New Roman"/>
          <w:b w:val="false"/>
          <w:i w:val="false"/>
          <w:color w:val="000000"/>
          <w:sz w:val="24"/>
        </w:rPr>
        <w:t> </w:t>
      </w:r>
      <w:r>
        <w:rPr>
          <w:rFonts w:ascii="Times New Roman" w:hAnsi="Times New Roman"/>
          <w:b w:val="false"/>
          <w:i w:val="false"/>
          <w:color w:val="000000"/>
          <w:sz w:val="24"/>
        </w:rPr>
        <w:t>Reapplications shall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the same reasons as original applications.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same reasons as listed in the grounds for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foster family applicant’s license has been denied or revoked within the 12 months before the date of reapplication. Denial for this reason does not require a licensing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foster family refuses to engage as a resource to a foster child’s birth parents when engagement can be done in a way that does not put the foster family or the foster child at risk of harm.</w:t>
      </w:r>
    </w:p>
    <w:p>
      <w:pPr>
        <w:spacing w:before="0" w:after="0" w:line="480"/>
        <w:ind w:left="120"/>
        <w:jc w:val="both"/>
      </w:pPr>
      <w:r>
        <w:rPr>
          <w:rFonts w:ascii="Times New Roman" w:hAnsi="Times New Roman"/>
          <w:b/>
          <w:i w:val="false"/>
          <w:color w:val="000000"/>
          <w:sz w:val="24"/>
        </w:rPr>
        <w:t>441—112.5</w:t>
      </w:r>
      <w:r>
        <w:rPr>
          <w:rFonts w:ascii="Times New Roman" w:hAnsi="Times New Roman"/>
          <w:b/>
          <w:i w:val="false"/>
          <w:color w:val="000000"/>
          <w:sz w:val="24"/>
        </w:rPr>
        <w:t xml:space="preserve">(237) </w:t>
      </w:r>
      <w:r>
        <w:rPr>
          <w:rFonts w:ascii="Times New Roman" w:hAnsi="Times New Roman"/>
          <w:b/>
          <w:i w:val="false"/>
          <w:color w:val="000000"/>
          <w:sz w:val="24"/>
        </w:rPr>
        <w:t xml:space="preserve">Revocation.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112.5(1)</w:t>
      </w:r>
      <w:r>
        <w:rPr>
          <w:rFonts w:ascii="Times New Roman" w:hAnsi="Times New Roman"/>
          <w:b w:val="false"/>
          <w:i w:val="false"/>
          <w:color w:val="000000"/>
          <w:sz w:val="24"/>
        </w:rPr>
        <w:t> </w:t>
      </w:r>
      <w:r>
        <w:rPr>
          <w:rFonts w:ascii="Times New Roman" w:hAnsi="Times New Roman"/>
          <w:b w:val="false"/>
          <w:i/>
          <w:color w:val="000000"/>
          <w:sz w:val="24"/>
        </w:rPr>
        <w:t xml:space="preserve">Mandatory. </w:t>
      </w:r>
      <w:r>
        <w:rPr>
          <w:rFonts w:ascii="Times New Roman" w:hAnsi="Times New Roman"/>
          <w:b w:val="false"/>
          <w:i w:val="false"/>
          <w:color w:val="000000"/>
          <w:sz w:val="24"/>
        </w:rPr>
        <w:t xml:space="preserve">The department will revoke the license for the following reasons unless an exception as set forth in subrule </w:t>
      </w:r>
      <w:hyperlink r:id="rId6">
        <w:r>
          <w:rPr>
            <w:rStyle w:val="Hyperlink"/>
            <w:rFonts w:ascii="Times New Roman" w:hAnsi="Times New Roman"/>
            <w:b w:val="false"/>
            <w:i w:val="false"/>
            <w:color w:val="000000"/>
            <w:sz w:val="24"/>
          </w:rPr>
          <w:t>112.5(3)</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the facility is misusing funds furnished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the facility is operating without due regard to the health, sanitation, hygiene, comfort, or well-being of the children in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the director or sole proprietor involved in the operation of the facility, or foster parent, any person residing in the foster home other than a foster child, or any facility staff has been convicted of a crime unless an evaluation of the crime has been made by the department that concludes that the crime does not merit prohibition of employment 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there is a founded abuse report on a foster family home parent, any person residing in a foster family home other than a foster child, a director or sole proprietor who is involved in the facility’s operation, or any facility staff unless an evaluation of the founded abuse has been made by the department that concludes that the abuse does not merit prohibition of employment or licensure.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112.5(2)</w:t>
      </w:r>
      <w:r>
        <w:rPr>
          <w:rFonts w:ascii="Times New Roman" w:hAnsi="Times New Roman"/>
          <w:b w:val="false"/>
          <w:i w:val="false"/>
          <w:color w:val="000000"/>
          <w:sz w:val="24"/>
        </w:rPr>
        <w:t> </w:t>
      </w:r>
      <w:r>
        <w:rPr>
          <w:rFonts w:ascii="Times New Roman" w:hAnsi="Times New Roman"/>
          <w:b w:val="false"/>
          <w:i/>
          <w:color w:val="000000"/>
          <w:sz w:val="24"/>
        </w:rPr>
        <w:t xml:space="preserve">Optional. </w:t>
      </w:r>
      <w:r>
        <w:rPr>
          <w:rFonts w:ascii="Times New Roman" w:hAnsi="Times New Roman"/>
          <w:b w:val="false"/>
          <w:i w:val="false"/>
          <w:color w:val="000000"/>
          <w:sz w:val="24"/>
        </w:rPr>
        <w:t xml:space="preserve">Licenses may be revoked for any of the following reasons unless an exception as set forth in subrule </w:t>
      </w:r>
      <w:hyperlink r:id="rId7">
        <w:r>
          <w:rPr>
            <w:rStyle w:val="Hyperlink"/>
            <w:rFonts w:ascii="Times New Roman" w:hAnsi="Times New Roman"/>
            <w:b w:val="false"/>
            <w:i w:val="false"/>
            <w:color w:val="000000"/>
            <w:sz w:val="24"/>
          </w:rPr>
          <w:t>112.5(3)</w:t>
        </w:r>
      </w:hyperlink>
      <w:r>
        <w:rPr>
          <w:rFonts w:ascii="Times New Roman" w:hAnsi="Times New Roman"/>
          <w:b w:val="false"/>
          <w:i w:val="false"/>
          <w:color w:val="000000"/>
          <w:sz w:val="24"/>
        </w:rPr>
        <w:t xml:space="preserve">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When moving to a new home, the foster family fails to notify the department and the recruitment and retention contractor within seven working days of the move to a new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foster family or facility fails to meet any or all requirements of the placement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child foster care facility fails to continue to comply with all of the licensing requirements in both law and 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foster family or the staff of a licensed group facility refuses to cooperate with an unannounced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112.5(3)</w:t>
      </w:r>
      <w:r>
        <w:rPr>
          <w:rFonts w:ascii="Times New Roman" w:hAnsi="Times New Roman"/>
          <w:b w:val="false"/>
          <w:i w:val="false"/>
          <w:color w:val="000000"/>
          <w:sz w:val="24"/>
        </w:rPr>
        <w:t> </w:t>
      </w:r>
      <w:r>
        <w:rPr>
          <w:rFonts w:ascii="Times New Roman" w:hAnsi="Times New Roman"/>
          <w:b w:val="false"/>
          <w:i/>
          <w:color w:val="000000"/>
          <w:sz w:val="24"/>
        </w:rPr>
        <w:t xml:space="preserve">Exceptions. </w:t>
      </w:r>
      <w:r>
        <w:rPr>
          <w:rFonts w:ascii="Times New Roman" w:hAnsi="Times New Roman"/>
          <w:b w:val="false"/>
          <w:i w:val="false"/>
          <w:color w:val="000000"/>
          <w:sz w:val="24"/>
        </w:rPr>
        <w:t>The license for a foster family home will not be revoked when there are 30 or fewer days until the date the license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foster family home will be advised in writing that a reapplication may be denied and the reasons for the possible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foster family home license may be suspended immediately at the discretion of the department.</w:t>
      </w:r>
    </w:p>
    <w:p>
      <w:pPr>
        <w:spacing w:before="0" w:after="0" w:line="480"/>
        <w:ind w:left="120"/>
        <w:jc w:val="both"/>
      </w:pPr>
      <w:r>
        <w:rPr>
          <w:rFonts w:ascii="Times New Roman" w:hAnsi="Times New Roman"/>
          <w:b/>
          <w:i w:val="false"/>
          <w:color w:val="000000"/>
          <w:sz w:val="24"/>
        </w:rPr>
        <w:t>441—112.6</w:t>
      </w:r>
      <w:r>
        <w:rPr>
          <w:rFonts w:ascii="Times New Roman" w:hAnsi="Times New Roman"/>
          <w:b/>
          <w:i w:val="false"/>
          <w:color w:val="000000"/>
          <w:sz w:val="24"/>
        </w:rPr>
        <w:t xml:space="preserve">(237) </w:t>
      </w:r>
      <w:r>
        <w:rPr>
          <w:rFonts w:ascii="Times New Roman" w:hAnsi="Times New Roman"/>
          <w:b/>
          <w:i w:val="false"/>
          <w:color w:val="000000"/>
          <w:sz w:val="24"/>
        </w:rPr>
        <w:t xml:space="preserve">Provisional license.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112.6(1)</w:t>
      </w:r>
      <w:r>
        <w:rPr>
          <w:rFonts w:ascii="Times New Roman" w:hAnsi="Times New Roman"/>
          <w:b w:val="false"/>
          <w:i w:val="false"/>
          <w:color w:val="000000"/>
          <w:sz w:val="24"/>
        </w:rPr>
        <w:t> </w:t>
      </w:r>
      <w:r>
        <w:rPr>
          <w:rFonts w:ascii="Times New Roman" w:hAnsi="Times New Roman"/>
          <w:b w:val="false"/>
          <w:i/>
          <w:color w:val="000000"/>
          <w:sz w:val="24"/>
        </w:rPr>
        <w:t xml:space="preserve">Time frame for provisional licenses. </w:t>
      </w:r>
      <w:r>
        <w:rPr>
          <w:rFonts w:ascii="Times New Roman" w:hAnsi="Times New Roman"/>
          <w:b w:val="false"/>
          <w:i w:val="false"/>
          <w:color w:val="000000"/>
          <w:sz w:val="24"/>
        </w:rPr>
        <w:t>The department may issue a provisional license for not more than one year when a licensee’s facility does not meet the requirements of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112.6(2)</w:t>
      </w:r>
      <w:r>
        <w:rPr>
          <w:rFonts w:ascii="Times New Roman" w:hAnsi="Times New Roman"/>
          <w:b w:val="false"/>
          <w:i w:val="false"/>
          <w:color w:val="000000"/>
          <w:sz w:val="24"/>
        </w:rPr>
        <w:t> </w:t>
      </w:r>
      <w:r>
        <w:rPr>
          <w:rFonts w:ascii="Times New Roman" w:hAnsi="Times New Roman"/>
          <w:b w:val="false"/>
          <w:i/>
          <w:color w:val="000000"/>
          <w:sz w:val="24"/>
        </w:rPr>
        <w:t xml:space="preserve">Written report. </w:t>
      </w:r>
      <w:r>
        <w:rPr>
          <w:rFonts w:ascii="Times New Roman" w:hAnsi="Times New Roman"/>
          <w:b w:val="false"/>
          <w:i w:val="false"/>
          <w:color w:val="000000"/>
          <w:sz w:val="24"/>
        </w:rPr>
        <w:t>The department will provide a report identifying the reasons for the provisional license and the standards that have not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112.6(3)</w:t>
      </w:r>
      <w:r>
        <w:rPr>
          <w:rFonts w:ascii="Times New Roman" w:hAnsi="Times New Roman"/>
          <w:b w:val="false"/>
          <w:i w:val="false"/>
          <w:color w:val="000000"/>
          <w:sz w:val="24"/>
        </w:rPr>
        <w:t> </w:t>
      </w:r>
      <w:r>
        <w:rPr>
          <w:rFonts w:ascii="Times New Roman" w:hAnsi="Times New Roman"/>
          <w:b w:val="false"/>
          <w:i/>
          <w:color w:val="000000"/>
          <w:sz w:val="24"/>
        </w:rPr>
        <w:t xml:space="preserve">Corrective action plan. </w:t>
      </w:r>
      <w:r>
        <w:rPr>
          <w:rFonts w:ascii="Times New Roman" w:hAnsi="Times New Roman"/>
          <w:b w:val="false"/>
          <w:i w:val="false"/>
          <w:color w:val="000000"/>
          <w:sz w:val="24"/>
        </w:rPr>
        <w:t>The facility shall furnish the licensing agency with a plan of action to correct deficiencies listed that resulted in the provisional license. The plan shall give specific dates upon which the corrective action will be completed.</w:t>
      </w:r>
    </w:p>
    <w:p>
      <w:pPr>
        <w:spacing w:before="210" w:after="0" w:line="480"/>
        <w:ind w:left="120"/>
        <w:jc w:val="both"/>
      </w:pPr>
      <w:r>
        <w:rPr>
          <w:rFonts w:ascii="Times New Roman" w:hAnsi="Times New Roman"/>
          <w:b/>
          <w:i w:val="false"/>
          <w:color w:val="000000"/>
          <w:sz w:val="24"/>
        </w:rPr>
        <w:t>441—112.7</w:t>
      </w:r>
      <w:r>
        <w:rPr>
          <w:rFonts w:ascii="Times New Roman" w:hAnsi="Times New Roman"/>
          <w:b/>
          <w:i w:val="false"/>
          <w:color w:val="000000"/>
          <w:sz w:val="24"/>
        </w:rPr>
        <w:t xml:space="preserve">(237) </w:t>
      </w:r>
      <w:r>
        <w:rPr>
          <w:rFonts w:ascii="Times New Roman" w:hAnsi="Times New Roman"/>
          <w:b/>
          <w:i w:val="false"/>
          <w:color w:val="000000"/>
          <w:sz w:val="24"/>
        </w:rPr>
        <w:t xml:space="preserve">Adverse actions. </w:t>
      </w:r>
      <w:r>
        <w:rPr>
          <w:rFonts w:ascii="Times New Roman" w:hAnsi="Times New Roman"/>
          <w:b w:val="false"/>
          <w:i w:val="false"/>
          <w:color w:val="000000"/>
          <w:sz w:val="24"/>
        </w:rPr>
        <w:t xml:space="preserve">Notice of adverse actions shall be given pursuant to </w:t>
      </w:r>
      <w:hyperlink r:id="rId8">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the right to appeal the licensing decision shall be given to applicants and licensees in accordance with </w:t>
      </w:r>
      <w:hyperlink r:id="rId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Any issues of placement or payment are independent of the licensing decision and right of appeal.</w:t>
      </w:r>
    </w:p>
    <w:p>
      <w:pPr>
        <w:spacing w:before="0" w:after="0" w:line="480"/>
        <w:ind w:left="120"/>
        <w:jc w:val="both"/>
      </w:pPr>
      <w:r>
        <w:rPr>
          <w:rFonts w:ascii="Times New Roman" w:hAnsi="Times New Roman"/>
          <w:b/>
          <w:i w:val="false"/>
          <w:color w:val="000000"/>
          <w:sz w:val="24"/>
        </w:rPr>
        <w:t>441—112.8</w:t>
      </w:r>
      <w:r>
        <w:rPr>
          <w:rFonts w:ascii="Times New Roman" w:hAnsi="Times New Roman"/>
          <w:b/>
          <w:i w:val="false"/>
          <w:color w:val="000000"/>
          <w:sz w:val="24"/>
        </w:rPr>
        <w:t xml:space="preserve">(237) </w:t>
      </w:r>
      <w:r>
        <w:rPr>
          <w:rFonts w:ascii="Times New Roman" w:hAnsi="Times New Roman"/>
          <w:b/>
          <w:i w:val="false"/>
          <w:color w:val="000000"/>
          <w:sz w:val="24"/>
        </w:rPr>
        <w:t xml:space="preserve">Suspension.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112.8(1)</w:t>
      </w:r>
      <w:r>
        <w:rPr>
          <w:rFonts w:ascii="Times New Roman" w:hAnsi="Times New Roman"/>
          <w:b w:val="false"/>
          <w:i w:val="false"/>
          <w:color w:val="000000"/>
          <w:sz w:val="24"/>
        </w:rPr>
        <w:t> </w:t>
      </w:r>
      <w:r>
        <w:rPr>
          <w:rFonts w:ascii="Times New Roman" w:hAnsi="Times New Roman"/>
          <w:b w:val="false"/>
          <w:i/>
          <w:color w:val="000000"/>
          <w:sz w:val="24"/>
        </w:rPr>
        <w:t xml:space="preserve">Types of suspension. </w:t>
      </w:r>
      <w:r>
        <w:rPr>
          <w:rFonts w:ascii="Times New Roman" w:hAnsi="Times New Roman"/>
          <w:b w:val="false"/>
          <w:i w:val="false"/>
          <w:color w:val="000000"/>
          <w:sz w:val="24"/>
        </w:rPr>
        <w:t>There are two types of suspension of a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Emergency suspensions are to prevent persons from providing foster care by suspending their license until it is revoked or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Time-limited suspensions are to prevent persons from providing foster care by suspending their license until a deficiency in the home or facility is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112.8(2)</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emergency suspension. </w:t>
      </w:r>
      <w:r>
        <w:rPr>
          <w:rFonts w:ascii="Times New Roman" w:hAnsi="Times New Roman"/>
          <w:b w:val="false"/>
          <w:i w:val="false"/>
          <w:color w:val="000000"/>
          <w:sz w:val="24"/>
        </w:rPr>
        <w:t>The emergency suspension of a license by the department will occur only when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fails to meet licensing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There are sufficient grounds for revocation or denial of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health, safety, and welfare of any child placed in the home or facility requires immediate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existence of the condition requiring suspension is documented in the licensee’s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112.8(3)</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time-limited suspensions. </w:t>
      </w:r>
      <w:r>
        <w:rPr>
          <w:rFonts w:ascii="Times New Roman" w:hAnsi="Times New Roman"/>
          <w:b w:val="false"/>
          <w:i w:val="false"/>
          <w:color w:val="000000"/>
          <w:sz w:val="24"/>
        </w:rPr>
        <w:t>The time-limited suspension of a license by the department will occur only when all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licensee fails to meet licensing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health, safety, and welfare of any child placed in the home or facility requires immediate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existence of the condition requiring suspension is documented in the licensee’s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condition requiring the suspension can be corrected by the licensee to meet licensing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conditions were corrected, a full license would be 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licensee signs a written statement acknowledging the existence of the condition, citing the law or rule violated, and making a commitment to correct the condition within a specific time period, not to exceed the period of the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112.8(4)</w:t>
      </w:r>
      <w:r>
        <w:rPr>
          <w:rFonts w:ascii="Times New Roman" w:hAnsi="Times New Roman"/>
          <w:b w:val="false"/>
          <w:i w:val="false"/>
          <w:color w:val="000000"/>
          <w:sz w:val="24"/>
        </w:rPr>
        <w:t> </w:t>
      </w:r>
      <w:r>
        <w:rPr>
          <w:rFonts w:ascii="Times New Roman" w:hAnsi="Times New Roman"/>
          <w:b w:val="false"/>
          <w:i/>
          <w:color w:val="000000"/>
          <w:sz w:val="24"/>
        </w:rPr>
        <w:t xml:space="preserve">Effective period of suspensions. </w:t>
      </w:r>
      <w:r>
        <w:rPr>
          <w:rFonts w:ascii="Times New Roman" w:hAnsi="Times New Roman"/>
          <w:b w:val="false"/>
          <w:i w:val="false"/>
          <w:color w:val="000000"/>
          <w:sz w:val="24"/>
        </w:rPr>
        <w:t>A suspension will be effective on the date the notice is received by the licensee and will remain in effect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department withdraws the suspension due to a change in conditions in the home or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court orders the license reinstated.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action is reversed by a final decision in accordance with </w:t>
      </w:r>
      <w:hyperlink r:id="rId1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emergency suspensions, a revocation or denial becomes effective and the license is rescinded.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licensing period expires.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For time-limited suspensions, the period of suspension ends.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112.8(5)</w:t>
      </w:r>
      <w:r>
        <w:rPr>
          <w:rFonts w:ascii="Times New Roman" w:hAnsi="Times New Roman"/>
          <w:b w:val="false"/>
          <w:i w:val="false"/>
          <w:color w:val="000000"/>
          <w:sz w:val="24"/>
        </w:rPr>
        <w:t> </w:t>
      </w:r>
      <w:r>
        <w:rPr>
          <w:rFonts w:ascii="Times New Roman" w:hAnsi="Times New Roman"/>
          <w:b w:val="false"/>
          <w:i/>
          <w:color w:val="000000"/>
          <w:sz w:val="24"/>
        </w:rPr>
        <w:t xml:space="preserve">Method and content of notice. </w:t>
      </w:r>
      <w:r>
        <w:rPr>
          <w:rFonts w:ascii="Times New Roman" w:hAnsi="Times New Roman"/>
          <w:b w:val="false"/>
          <w:i w:val="false"/>
          <w:color w:val="000000"/>
          <w:sz w:val="24"/>
        </w:rPr>
        <w:t>The notice of suspension will be issued in writing and will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condition requiring the suspension.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specific law or rule violated.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type of suspension.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 an emergency suspension, the adverse action being sought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 time-limited suspension, the duration of the suspension.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112.8(6)</w:t>
      </w:r>
      <w:r>
        <w:rPr>
          <w:rFonts w:ascii="Times New Roman" w:hAnsi="Times New Roman"/>
          <w:b w:val="false"/>
          <w:i w:val="false"/>
          <w:color w:val="000000"/>
          <w:sz w:val="24"/>
        </w:rPr>
        <w:t> </w:t>
      </w:r>
      <w:r>
        <w:rPr>
          <w:rFonts w:ascii="Times New Roman" w:hAnsi="Times New Roman"/>
          <w:b w:val="false"/>
          <w:i/>
          <w:color w:val="000000"/>
          <w:sz w:val="24"/>
        </w:rPr>
        <w:t xml:space="preserve">Right to appeal suspension. </w:t>
      </w:r>
      <w:r>
        <w:rPr>
          <w:rFonts w:ascii="Times New Roman" w:hAnsi="Times New Roman"/>
          <w:b w:val="false"/>
          <w:i w:val="false"/>
          <w:color w:val="000000"/>
          <w:sz w:val="24"/>
        </w:rPr>
        <w:t>The licensee has the right to appeal the suspension of the license, but initiation of an appeal does not alter the suspension.</w:t>
      </w:r>
    </w:p>
    <w:p>
      <w:pPr>
        <w:spacing w:before="0" w:after="0" w:line="480"/>
        <w:ind w:left="120"/>
        <w:jc w:val="both"/>
      </w:pPr>
      <w:r>
        <w:rPr>
          <w:rFonts w:ascii="Times New Roman" w:hAnsi="Times New Roman"/>
          <w:b/>
          <w:i w:val="false"/>
          <w:color w:val="000000"/>
          <w:sz w:val="24"/>
        </w:rPr>
        <w:t>441—112.9</w:t>
      </w:r>
      <w:r>
        <w:rPr>
          <w:rFonts w:ascii="Times New Roman" w:hAnsi="Times New Roman"/>
          <w:b/>
          <w:i w:val="false"/>
          <w:color w:val="000000"/>
          <w:sz w:val="24"/>
        </w:rPr>
        <w:t xml:space="preserve">(232) </w:t>
      </w:r>
      <w:r>
        <w:rPr>
          <w:rFonts w:ascii="Times New Roman" w:hAnsi="Times New Roman"/>
          <w:b/>
          <w:i w:val="false"/>
          <w:color w:val="000000"/>
          <w:sz w:val="24"/>
        </w:rPr>
        <w:t xml:space="preserve">Mandatory reporting of child abuse and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112.9(1)</w:t>
      </w:r>
      <w:r>
        <w:rPr>
          <w:rFonts w:ascii="Times New Roman" w:hAnsi="Times New Roman"/>
          <w:b w:val="false"/>
          <w:i w:val="false"/>
          <w:color w:val="000000"/>
          <w:sz w:val="24"/>
        </w:rPr>
        <w:t> </w:t>
      </w:r>
      <w:r>
        <w:rPr>
          <w:rFonts w:ascii="Times New Roman" w:hAnsi="Times New Roman"/>
          <w:b w:val="false"/>
          <w:i/>
          <w:color w:val="000000"/>
          <w:sz w:val="24"/>
        </w:rPr>
        <w:t xml:space="preserve">Mandatory reporters. </w:t>
      </w:r>
      <w:r>
        <w:rPr>
          <w:rFonts w:ascii="Times New Roman" w:hAnsi="Times New Roman"/>
          <w:b w:val="false"/>
          <w:i w:val="false"/>
          <w:color w:val="000000"/>
          <w:sz w:val="24"/>
        </w:rPr>
        <w:t xml:space="preserve">All classes of persons described in Iowa Code section </w:t>
      </w:r>
      <w:hyperlink r:id="rId11">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who, in the scope of professional practice or in their employment responsibilities, examine, attend, counsel, or treat a child and reasonably believe a child has suffered abuse shall make a report in accordance with Iowa Code sections </w:t>
      </w:r>
      <w:hyperlink r:id="rId12">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232.70</w:t>
        </w:r>
      </w:hyperlink>
      <w:r>
        <w:rPr>
          <w:rFonts w:ascii="Times New Roman" w:hAnsi="Times New Roman"/>
          <w:b w:val="false"/>
          <w:i w:val="false"/>
          <w:color w:val="000000"/>
          <w:sz w:val="24"/>
        </w:rPr>
        <w:t xml:space="preserve"> whenever the provider reasonably believes a child for whom the provider is providing foster care has suffered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112.9(2)</w:t>
      </w:r>
      <w:r>
        <w:rPr>
          <w:rFonts w:ascii="Times New Roman" w:hAnsi="Times New Roman"/>
          <w:b w:val="false"/>
          <w:i w:val="false"/>
          <w:color w:val="000000"/>
          <w:sz w:val="24"/>
        </w:rPr>
        <w:t> </w:t>
      </w:r>
      <w:r>
        <w:rPr>
          <w:rFonts w:ascii="Times New Roman" w:hAnsi="Times New Roman"/>
          <w:b w:val="false"/>
          <w:i/>
          <w:color w:val="000000"/>
          <w:sz w:val="24"/>
        </w:rPr>
        <w:t xml:space="preserve">Required training. </w:t>
      </w:r>
      <w:r>
        <w:rPr>
          <w:rFonts w:ascii="Times New Roman" w:hAnsi="Times New Roman"/>
          <w:b w:val="false"/>
          <w:i w:val="false"/>
          <w:color w:val="000000"/>
          <w:sz w:val="24"/>
        </w:rPr>
        <w:t xml:space="preserve">Mandatory reporters shall receive training relating to the identification and reporting of child abuse as required by Iowa Code section </w:t>
      </w:r>
      <w:hyperlink r:id="rId14">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112.9(3)</w:t>
      </w:r>
      <w:r>
        <w:rPr>
          <w:rFonts w:ascii="Times New Roman" w:hAnsi="Times New Roman"/>
          <w:b w:val="false"/>
          <w:i w:val="false"/>
          <w:color w:val="000000"/>
          <w:sz w:val="24"/>
        </w:rPr>
        <w:t> </w:t>
      </w:r>
      <w:r>
        <w:rPr>
          <w:rFonts w:ascii="Times New Roman" w:hAnsi="Times New Roman"/>
          <w:b w:val="false"/>
          <w:i/>
          <w:color w:val="000000"/>
          <w:sz w:val="24"/>
        </w:rPr>
        <w:t xml:space="preserve">Training documentation. </w:t>
      </w:r>
      <w:r>
        <w:rPr>
          <w:rFonts w:ascii="Times New Roman" w:hAnsi="Times New Roman"/>
          <w:b w:val="false"/>
          <w:i w:val="false"/>
          <w:color w:val="000000"/>
          <w:sz w:val="24"/>
        </w:rPr>
        <w:t>Each licensee shall develop and maintain a written record for each mandatory reporter in order to document the content and amount of training.</w:t>
      </w:r>
    </w:p>
    <w:p>
      <w:pPr>
        <w:spacing w:before="210" w:after="0" w:line="480"/>
        <w:ind w:left="120"/>
        <w:jc w:val="both"/>
      </w:pPr>
      <w:r>
        <w:rPr>
          <w:rFonts w:ascii="Times New Roman" w:hAnsi="Times New Roman"/>
          <w:b/>
          <w:i w:val="false"/>
          <w:color w:val="000000"/>
          <w:sz w:val="24"/>
        </w:rPr>
        <w:t>441—112.10</w:t>
      </w:r>
      <w:r>
        <w:rPr>
          <w:rFonts w:ascii="Times New Roman" w:hAnsi="Times New Roman"/>
          <w:b/>
          <w:i w:val="false"/>
          <w:color w:val="000000"/>
          <w:sz w:val="24"/>
        </w:rPr>
        <w:t xml:space="preserve">(237) </w:t>
      </w:r>
      <w:r>
        <w:rPr>
          <w:rFonts w:ascii="Times New Roman" w:hAnsi="Times New Roman"/>
          <w:b/>
          <w:i w:val="false"/>
          <w:color w:val="000000"/>
          <w:sz w:val="24"/>
        </w:rPr>
        <w:t xml:space="preserve">Required training on the reasonable and prudent parent standard. </w:t>
      </w:r>
      <w:r>
        <w:rPr>
          <w:rFonts w:ascii="Times New Roman" w:hAnsi="Times New Roman"/>
          <w:b w:val="false"/>
          <w:i w:val="false"/>
          <w:color w:val="000000"/>
          <w:sz w:val="24"/>
        </w:rPr>
        <w:t xml:space="preserve">Each group facility shall have an on-site official authorized to apply the reasonable and prudent parent standard. Within one year of being identified as an authorized on-site official, each authorized official shall complete the same department-approved training on the reasonable and prudent parent standard in the same manner as required for prospective foster parents and referenced in </w:t>
      </w:r>
      <w:hyperlink r:id="rId15">
        <w:r>
          <w:rPr>
            <w:rStyle w:val="Hyperlink"/>
            <w:rFonts w:ascii="Times New Roman" w:hAnsi="Times New Roman"/>
            <w:b w:val="false"/>
            <w:i w:val="false"/>
            <w:color w:val="000000"/>
            <w:sz w:val="24"/>
          </w:rPr>
          <w:t>441—subrule 117.1(3)</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441—112.11</w:t>
      </w:r>
      <w:r>
        <w:rPr>
          <w:rFonts w:ascii="Times New Roman" w:hAnsi="Times New Roman"/>
          <w:b/>
          <w:i w:val="false"/>
          <w:color w:val="000000"/>
          <w:sz w:val="24"/>
        </w:rPr>
        <w:t xml:space="preserve">(237) </w:t>
      </w:r>
      <w:r>
        <w:rPr>
          <w:rFonts w:ascii="Times New Roman" w:hAnsi="Times New Roman"/>
          <w:b/>
          <w:i w:val="false"/>
          <w:color w:val="000000"/>
          <w:sz w:val="24"/>
        </w:rPr>
        <w:t xml:space="preserve">Record checks. </w:t>
      </w:r>
      <w:r>
        <w:rPr>
          <w:rFonts w:ascii="Times New Roman" w:hAnsi="Times New Roman"/>
          <w:b w:val="false"/>
          <w:i w:val="false"/>
          <w:color w:val="000000"/>
          <w:sz w:val="24"/>
        </w:rPr>
        <w:t>Record checks are required for any entity being considered for licensure or employment by a licensee on a facility campus where children reside to determine whether an applicant has any founded child abuse reports or criminal convictions or has been placed on a sex offender registry.</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6">
        <w:r>
          <w:rPr>
            <w:rStyle w:val="Hyperlink"/>
            <w:rFonts w:ascii="Times New Roman" w:hAnsi="Times New Roman"/>
            <w:b w:val="false"/>
            <w:i w:val="false"/>
            <w:color w:val="000000"/>
            <w:sz w:val="24"/>
          </w:rPr>
          <w:t>237</w:t>
        </w:r>
      </w:hyperlink>
      <w:r>
        <w:rPr>
          <w:rFonts w:ascii="Times New Roman" w:hAnsi="Times New Roman"/>
          <w:b w:val="false"/>
          <w:i w:val="false"/>
          <w:color w:val="000000"/>
          <w:sz w:val="24"/>
        </w:rPr>
        <w:t xml:space="preserve"> and section </w:t>
      </w:r>
      <w:hyperlink r:id="rId17">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222.2.pdf" Type="http://schemas.openxmlformats.org/officeDocument/2006/relationships/hyperlink" Id="rId5"/>
    <Relationship TargetMode="External" Target="https://www.legis.iowa.gov/docs/iac/rule/441.112.5.pdf" Type="http://schemas.openxmlformats.org/officeDocument/2006/relationships/hyperlink" Id="rId6"/>
    <Relationship TargetMode="External" Target="https://www.legis.iowa.gov/docs/iac/rule/441.112.5.pdf" Type="http://schemas.openxmlformats.org/officeDocument/2006/relationships/hyperlink" Id="rId7"/>
    <Relationship TargetMode="External" Target="https://www.legis.iowa.gov/docs/iac/chapter/441.16.pdf" Type="http://schemas.openxmlformats.org/officeDocument/2006/relationships/hyperlink" Id="rId8"/>
    <Relationship TargetMode="External" Target="https://www.legis.iowa.gov/docs/iac/chapter/441.2506.pdf" Type="http://schemas.openxmlformats.org/officeDocument/2006/relationships/hyperlink" Id="rId9"/>
    <Relationship TargetMode="External" Target="https://www.legis.iowa.gov/docs/iac/chapter/441.2506.pdf" Type="http://schemas.openxmlformats.org/officeDocument/2006/relationships/hyperlink" Id="rId10"/>
    <Relationship TargetMode="External" Target="https://www.legis.iowa.gov/docs/ico/chapter/232.69.pdf" Type="http://schemas.openxmlformats.org/officeDocument/2006/relationships/hyperlink" Id="rId11"/>
    <Relationship TargetMode="External" Target="https://www.legis.iowa.gov/docs/ico/chapter/232.69.pdf" Type="http://schemas.openxmlformats.org/officeDocument/2006/relationships/hyperlink" Id="rId12"/>
    <Relationship TargetMode="External" Target="https://www.legis.iowa.gov/docs/ico/chapter/232.70.pdf" Type="http://schemas.openxmlformats.org/officeDocument/2006/relationships/hyperlink" Id="rId13"/>
    <Relationship TargetMode="External" Target="https://www.legis.iowa.gov/docs/ico/chapter/232.69.pdf" Type="http://schemas.openxmlformats.org/officeDocument/2006/relationships/hyperlink" Id="rId14"/>
    <Relationship TargetMode="External" Target="https://www.legis.iowa.gov/docs/iac/rule/441.117.1.pdf" Type="http://schemas.openxmlformats.org/officeDocument/2006/relationships/hyperlink" Id="rId15"/>
    <Relationship TargetMode="External" Target="https://www.legis.iowa.gov/docs/ico/chapter/237.pdf" Type="http://schemas.openxmlformats.org/officeDocument/2006/relationships/hyperlink" Id="rId16"/>
    <Relationship TargetMode="External" Target="https://www.legis.iowa.gov/docs/ico/chapter/232.69.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